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D6" w:rsidRDefault="00335452" w:rsidP="00FC2825">
      <w:pPr>
        <w:spacing w:after="25" w:line="259" w:lineRule="auto"/>
        <w:ind w:left="6684" w:right="415" w:firstLine="516"/>
        <w:jc w:val="center"/>
      </w:pPr>
      <w:r>
        <w:rPr>
          <w:noProof/>
        </w:rPr>
        <w:drawing>
          <wp:anchor distT="0" distB="0" distL="114300" distR="114300" simplePos="0" relativeHeight="251658240" behindDoc="0" locked="0" layoutInCell="1" allowOverlap="0">
            <wp:simplePos x="0" y="0"/>
            <wp:positionH relativeFrom="column">
              <wp:posOffset>-150495</wp:posOffset>
            </wp:positionH>
            <wp:positionV relativeFrom="paragraph">
              <wp:posOffset>-561975</wp:posOffset>
            </wp:positionV>
            <wp:extent cx="2086610" cy="655320"/>
            <wp:effectExtent l="0" t="0" r="8890"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2086610" cy="655320"/>
                    </a:xfrm>
                    <a:prstGeom prst="rect">
                      <a:avLst/>
                    </a:prstGeom>
                  </pic:spPr>
                </pic:pic>
              </a:graphicData>
            </a:graphic>
          </wp:anchor>
        </w:drawing>
      </w:r>
      <w:r w:rsidR="00FC2825">
        <w:rPr>
          <w:b/>
          <w:i/>
          <w:color w:val="9C5FB5"/>
          <w:sz w:val="18"/>
        </w:rPr>
        <w:t xml:space="preserve">           </w:t>
      </w:r>
    </w:p>
    <w:p w:rsidR="005C1FD6" w:rsidRPr="00FC2825" w:rsidRDefault="00335452">
      <w:pPr>
        <w:spacing w:after="52" w:line="259" w:lineRule="auto"/>
        <w:ind w:left="180" w:firstLine="0"/>
        <w:rPr>
          <w:szCs w:val="24"/>
        </w:rPr>
      </w:pPr>
      <w:r>
        <w:rPr>
          <w:sz w:val="18"/>
        </w:rPr>
        <w:t xml:space="preserve"> </w:t>
      </w:r>
    </w:p>
    <w:p w:rsidR="005C1FD6" w:rsidRDefault="00FC2825" w:rsidP="00FC2825">
      <w:pPr>
        <w:spacing w:after="0" w:line="259" w:lineRule="auto"/>
        <w:rPr>
          <w:szCs w:val="24"/>
        </w:rPr>
      </w:pPr>
      <w:r w:rsidRPr="00FC2825">
        <w:rPr>
          <w:szCs w:val="24"/>
        </w:rPr>
        <w:t>Date:  June 13, 2017</w:t>
      </w:r>
    </w:p>
    <w:p w:rsidR="00FC2825" w:rsidRPr="00FC2825" w:rsidRDefault="00FC2825" w:rsidP="00FC2825">
      <w:pPr>
        <w:spacing w:after="0" w:line="259" w:lineRule="auto"/>
        <w:rPr>
          <w:szCs w:val="24"/>
        </w:rPr>
      </w:pPr>
    </w:p>
    <w:p w:rsidR="005C1FD6" w:rsidRPr="00FC2825" w:rsidRDefault="00FC2825" w:rsidP="00FC2825">
      <w:pPr>
        <w:spacing w:after="0" w:line="259" w:lineRule="auto"/>
        <w:rPr>
          <w:szCs w:val="24"/>
        </w:rPr>
      </w:pPr>
      <w:r w:rsidRPr="00FC2825">
        <w:rPr>
          <w:szCs w:val="24"/>
        </w:rPr>
        <w:t xml:space="preserve">From: Dr. Paul </w:t>
      </w:r>
      <w:proofErr w:type="spellStart"/>
      <w:r w:rsidRPr="00FC2825">
        <w:rPr>
          <w:szCs w:val="24"/>
        </w:rPr>
        <w:t>Jarris</w:t>
      </w:r>
      <w:proofErr w:type="spellEnd"/>
      <w:r w:rsidRPr="00FC2825">
        <w:rPr>
          <w:szCs w:val="24"/>
        </w:rPr>
        <w:t>, CMO and SVP</w:t>
      </w:r>
    </w:p>
    <w:p w:rsidR="00FC2825" w:rsidRDefault="00335452" w:rsidP="00FC2825">
      <w:pPr>
        <w:spacing w:after="80" w:line="259" w:lineRule="auto"/>
        <w:ind w:left="180" w:firstLine="0"/>
        <w:rPr>
          <w:szCs w:val="24"/>
        </w:rPr>
      </w:pPr>
      <w:r w:rsidRPr="00FC2825">
        <w:rPr>
          <w:szCs w:val="24"/>
        </w:rPr>
        <w:t xml:space="preserve"> </w:t>
      </w:r>
    </w:p>
    <w:p w:rsidR="00FC2825" w:rsidRPr="00FC2825" w:rsidRDefault="00FC2825" w:rsidP="00FC2825">
      <w:pPr>
        <w:spacing w:after="80" w:line="259" w:lineRule="auto"/>
        <w:ind w:left="180" w:firstLine="540"/>
        <w:rPr>
          <w:szCs w:val="24"/>
        </w:rPr>
      </w:pPr>
      <w:r w:rsidRPr="00FC2825">
        <w:rPr>
          <w:szCs w:val="24"/>
        </w:rPr>
        <w:t xml:space="preserve">Re: </w:t>
      </w:r>
      <w:r w:rsidRPr="00FC2825">
        <w:rPr>
          <w:szCs w:val="24"/>
        </w:rPr>
        <w:tab/>
        <w:t>Fetal Fibronectin (</w:t>
      </w:r>
      <w:proofErr w:type="spellStart"/>
      <w:r w:rsidRPr="00FC2825">
        <w:rPr>
          <w:szCs w:val="24"/>
        </w:rPr>
        <w:t>fFN</w:t>
      </w:r>
      <w:proofErr w:type="spellEnd"/>
      <w:r w:rsidRPr="00FC2825">
        <w:rPr>
          <w:szCs w:val="24"/>
        </w:rPr>
        <w:t>)</w:t>
      </w:r>
    </w:p>
    <w:p w:rsidR="005C1FD6" w:rsidRPr="00FC2825" w:rsidRDefault="00FC2825" w:rsidP="00FC2825">
      <w:pPr>
        <w:spacing w:after="80" w:line="259" w:lineRule="auto"/>
        <w:ind w:left="180" w:firstLine="0"/>
        <w:rPr>
          <w:szCs w:val="24"/>
        </w:rPr>
      </w:pPr>
      <w:r w:rsidRPr="00FC2825">
        <w:rPr>
          <w:szCs w:val="24"/>
        </w:rPr>
        <w:t xml:space="preserve"> </w:t>
      </w:r>
      <w:r w:rsidRPr="00FC2825">
        <w:rPr>
          <w:szCs w:val="24"/>
        </w:rPr>
        <w:tab/>
      </w:r>
    </w:p>
    <w:p w:rsidR="005C1FD6" w:rsidRDefault="00335452">
      <w:pPr>
        <w:ind w:left="-5" w:right="34"/>
      </w:pPr>
      <w:r>
        <w:t>Fetal fibronectin (</w:t>
      </w:r>
      <w:proofErr w:type="spellStart"/>
      <w:r>
        <w:t>fFN</w:t>
      </w:r>
      <w:proofErr w:type="spellEnd"/>
      <w:r>
        <w:t xml:space="preserve">) is a biomarker designed to screen for the risk of preterm labor at or before 34 weeks of gestation, often in conjunction with a transvaginal ultrasound to measure cervical length.  </w:t>
      </w:r>
    </w:p>
    <w:p w:rsidR="005C1FD6" w:rsidRDefault="00335452">
      <w:pPr>
        <w:spacing w:after="0" w:line="259" w:lineRule="auto"/>
        <w:ind w:left="0" w:firstLine="0"/>
      </w:pPr>
      <w:r>
        <w:t xml:space="preserve"> </w:t>
      </w:r>
    </w:p>
    <w:p w:rsidR="005C1FD6" w:rsidRDefault="00335452">
      <w:pPr>
        <w:spacing w:after="163"/>
        <w:ind w:left="-5" w:right="34"/>
      </w:pPr>
      <w:r>
        <w:t xml:space="preserve">Recent review of professional guidelines and literature has shown that routine use of </w:t>
      </w:r>
      <w:proofErr w:type="spellStart"/>
      <w:r>
        <w:t>fFN</w:t>
      </w:r>
      <w:proofErr w:type="spellEnd"/>
      <w:r>
        <w:t xml:space="preserve"> testing in symptomatic women (those presenting with preterm labor) to evaluate the likelihood of delivering preterm and decide treatment options is not recommended. </w:t>
      </w:r>
    </w:p>
    <w:p w:rsidR="005C1FD6" w:rsidRDefault="00335452">
      <w:pPr>
        <w:numPr>
          <w:ilvl w:val="0"/>
          <w:numId w:val="1"/>
        </w:numPr>
        <w:spacing w:after="122"/>
        <w:ind w:right="34" w:hanging="360"/>
      </w:pPr>
      <w:r>
        <w:t xml:space="preserve">The American College of Obstetricians and Gynecologists (ACOG) does not recommend </w:t>
      </w:r>
      <w:proofErr w:type="spellStart"/>
      <w:r>
        <w:t>fFN</w:t>
      </w:r>
      <w:proofErr w:type="spellEnd"/>
      <w:r>
        <w:t xml:space="preserve"> testing to direct management in symptomatic women because it has poor positive predictive value (poor at identifying who is going to deliver).</w:t>
      </w:r>
      <w:r>
        <w:rPr>
          <w:vertAlign w:val="superscript"/>
        </w:rPr>
        <w:footnoteReference w:id="1"/>
      </w:r>
      <w:r>
        <w:t xml:space="preserve"> The Society of Maternal Fetal Medicine (SMFM) says that </w:t>
      </w:r>
      <w:proofErr w:type="spellStart"/>
      <w:r>
        <w:t>fFN</w:t>
      </w:r>
      <w:proofErr w:type="spellEnd"/>
      <w:r>
        <w:t xml:space="preserve"> may be helpful for women with a “borderline” transvaginal ultrasound cervical length of 20 to 29 mm.</w:t>
      </w:r>
      <w:r>
        <w:rPr>
          <w:vertAlign w:val="superscript"/>
        </w:rPr>
        <w:footnoteReference w:id="2"/>
      </w:r>
      <w:r>
        <w:t xml:space="preserve">  </w:t>
      </w:r>
    </w:p>
    <w:p w:rsidR="005C1FD6" w:rsidRDefault="00335452">
      <w:pPr>
        <w:numPr>
          <w:ilvl w:val="0"/>
          <w:numId w:val="1"/>
        </w:numPr>
        <w:spacing w:after="135"/>
        <w:ind w:right="34" w:hanging="360"/>
      </w:pPr>
      <w:r>
        <w:t xml:space="preserve">A recent systematic review of randomized clinical trials evaluating the use of </w:t>
      </w:r>
      <w:proofErr w:type="spellStart"/>
      <w:r>
        <w:t>fFN</w:t>
      </w:r>
      <w:proofErr w:type="spellEnd"/>
      <w:r>
        <w:t xml:space="preserve"> in the prevention of preterm birth in singleton pregnancies with symptoms of preterm labor found no association with prevention of preterm birth or improvement in perinatal outcomes but was associated with higher costs.</w:t>
      </w:r>
      <w:r>
        <w:rPr>
          <w:vertAlign w:val="superscript"/>
        </w:rPr>
        <w:footnoteReference w:id="3"/>
      </w:r>
      <w:r>
        <w:rPr>
          <w:vertAlign w:val="superscript"/>
        </w:rPr>
        <w:footnoteReference w:id="4"/>
      </w:r>
      <w:r>
        <w:t xml:space="preserve"> </w:t>
      </w:r>
    </w:p>
    <w:p w:rsidR="005C1FD6" w:rsidRDefault="00335452">
      <w:pPr>
        <w:numPr>
          <w:ilvl w:val="0"/>
          <w:numId w:val="1"/>
        </w:numPr>
        <w:ind w:right="34" w:hanging="360"/>
      </w:pPr>
      <w:proofErr w:type="spellStart"/>
      <w:proofErr w:type="gramStart"/>
      <w:r>
        <w:t>fFN</w:t>
      </w:r>
      <w:proofErr w:type="spellEnd"/>
      <w:proofErr w:type="gramEnd"/>
      <w:r>
        <w:t xml:space="preserve"> does not have a role in screening of asymptomatic women. </w:t>
      </w:r>
    </w:p>
    <w:p w:rsidR="005C1FD6" w:rsidRDefault="00335452">
      <w:pPr>
        <w:spacing w:after="36" w:line="259" w:lineRule="auto"/>
        <w:ind w:left="0" w:firstLine="0"/>
      </w:pPr>
      <w:r>
        <w:t xml:space="preserve"> </w:t>
      </w:r>
    </w:p>
    <w:p w:rsidR="005C1FD6" w:rsidRDefault="00335452">
      <w:pPr>
        <w:ind w:left="-5" w:right="34"/>
      </w:pPr>
      <w:r>
        <w:t>The Preterm Labor Assessment Toolkit (PLAT) was created as a tool for clinicians to establish a standardized pathway to assess women showing symptoms of preterm labor.</w:t>
      </w:r>
      <w:r>
        <w:rPr>
          <w:rFonts w:ascii="Times New Roman" w:eastAsia="Times New Roman" w:hAnsi="Times New Roman" w:cs="Times New Roman"/>
          <w:sz w:val="22"/>
        </w:rPr>
        <w:t xml:space="preserve"> </w:t>
      </w:r>
    </w:p>
    <w:p w:rsidR="005C1FD6" w:rsidRDefault="00335452" w:rsidP="00FC2825">
      <w:pPr>
        <w:ind w:left="-5" w:right="34"/>
      </w:pPr>
      <w:r w:rsidRPr="00FC2825">
        <w:rPr>
          <w:highlight w:val="yellow"/>
        </w:rPr>
        <w:t xml:space="preserve">In light of this evidence and in consultation with expert clinicians, we are no longer supporting the use of </w:t>
      </w:r>
      <w:proofErr w:type="spellStart"/>
      <w:r w:rsidRPr="00FC2825">
        <w:rPr>
          <w:highlight w:val="yellow"/>
        </w:rPr>
        <w:t>fF</w:t>
      </w:r>
      <w:r w:rsidR="00FC2825" w:rsidRPr="00FC2825">
        <w:rPr>
          <w:highlight w:val="yellow"/>
        </w:rPr>
        <w:t>N</w:t>
      </w:r>
      <w:proofErr w:type="spellEnd"/>
      <w:r w:rsidR="00FC2825" w:rsidRPr="00FC2825">
        <w:rPr>
          <w:highlight w:val="yellow"/>
        </w:rPr>
        <w:t xml:space="preserve"> testing as outlined in PLAT</w:t>
      </w:r>
    </w:p>
    <w:sectPr w:rsidR="005C1FD6">
      <w:footnotePr>
        <w:numRestart w:val="eachPage"/>
      </w:footnotePr>
      <w:pgSz w:w="12240" w:h="15840"/>
      <w:pgMar w:top="1440" w:right="1111"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2C2" w:rsidRDefault="009702C2">
      <w:pPr>
        <w:spacing w:after="0" w:line="240" w:lineRule="auto"/>
      </w:pPr>
      <w:r>
        <w:separator/>
      </w:r>
    </w:p>
  </w:endnote>
  <w:endnote w:type="continuationSeparator" w:id="0">
    <w:p w:rsidR="009702C2" w:rsidRDefault="0097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2C2" w:rsidRDefault="009702C2">
      <w:pPr>
        <w:spacing w:after="5" w:line="259" w:lineRule="auto"/>
        <w:ind w:left="0" w:firstLine="0"/>
      </w:pPr>
      <w:r>
        <w:separator/>
      </w:r>
    </w:p>
  </w:footnote>
  <w:footnote w:type="continuationSeparator" w:id="0">
    <w:p w:rsidR="009702C2" w:rsidRDefault="009702C2">
      <w:pPr>
        <w:spacing w:after="5" w:line="259" w:lineRule="auto"/>
        <w:ind w:left="0" w:firstLine="0"/>
      </w:pPr>
      <w:r>
        <w:continuationSeparator/>
      </w:r>
    </w:p>
  </w:footnote>
  <w:footnote w:id="1">
    <w:p w:rsidR="005C1FD6" w:rsidRDefault="00335452">
      <w:pPr>
        <w:pStyle w:val="footnotedescription"/>
        <w:spacing w:after="5"/>
        <w:ind w:left="0" w:firstLine="0"/>
      </w:pPr>
      <w:r>
        <w:rPr>
          <w:rStyle w:val="footnotemark"/>
        </w:rPr>
        <w:footnoteRef/>
      </w:r>
      <w:r>
        <w:t xml:space="preserve"> ACOG Practice Bulletin No. 171. Management of preterm labor (Interim update). October 2016. </w:t>
      </w:r>
    </w:p>
  </w:footnote>
  <w:footnote w:id="2">
    <w:p w:rsidR="005C1FD6" w:rsidRDefault="00335452">
      <w:pPr>
        <w:pStyle w:val="footnotedescription"/>
        <w:spacing w:line="249" w:lineRule="auto"/>
      </w:pPr>
      <w:r>
        <w:rPr>
          <w:rStyle w:val="footnotemark"/>
        </w:rPr>
        <w:footnoteRef/>
      </w:r>
      <w:r>
        <w:t xml:space="preserve"> SMFM Publications &amp; Guidelines. When to use fetal fibronectin. Available at: </w:t>
      </w:r>
      <w:r w:rsidR="009702C2">
        <w:fldChar w:fldCharType="begin"/>
      </w:r>
      <w:r w:rsidR="009702C2">
        <w:instrText xml:space="preserve"> HYPERLINK "https://www.smfm.org/publications/117-when-to-use-fetal-fibronectin" \h </w:instrText>
      </w:r>
      <w:r w:rsidR="009702C2">
        <w:fldChar w:fldCharType="separate"/>
      </w:r>
      <w:r>
        <w:rPr>
          <w:color w:val="0000FF"/>
          <w:u w:val="single" w:color="0000FF"/>
        </w:rPr>
        <w:t>https://www.smfm.org/publications/117</w:t>
      </w:r>
      <w:r w:rsidR="009702C2">
        <w:rPr>
          <w:color w:val="0000FF"/>
          <w:u w:val="single" w:color="0000FF"/>
        </w:rPr>
        <w:fldChar w:fldCharType="end"/>
      </w:r>
      <w:r w:rsidR="00E162FC">
        <w:rPr>
          <w:color w:val="0000FF"/>
          <w:u w:val="single" w:color="0000FF"/>
        </w:rPr>
        <w:t>6/13/17</w:t>
      </w:r>
      <w:bookmarkStart w:id="0" w:name="_GoBack"/>
      <w:bookmarkEnd w:id="0"/>
      <w:r w:rsidR="009702C2">
        <w:fldChar w:fldCharType="begin"/>
      </w:r>
      <w:r w:rsidR="009702C2">
        <w:instrText xml:space="preserve"> HYPERLINK "https://www.smfm.org/publications/117-when-to-use-fetal-fibronectin" \h </w:instrText>
      </w:r>
      <w:r w:rsidR="009702C2">
        <w:fldChar w:fldCharType="separate"/>
      </w:r>
      <w:r w:rsidR="009702C2">
        <w:fldChar w:fldCharType="end"/>
      </w:r>
      <w:hyperlink r:id="rId1">
        <w:r>
          <w:rPr>
            <w:color w:val="0000FF"/>
            <w:u w:val="single" w:color="0000FF"/>
          </w:rPr>
          <w:t>when</w:t>
        </w:r>
      </w:hyperlink>
      <w:hyperlink r:id="rId2">
        <w:r>
          <w:rPr>
            <w:color w:val="0000FF"/>
            <w:u w:val="single" w:color="0000FF"/>
          </w:rPr>
          <w:t>-</w:t>
        </w:r>
      </w:hyperlink>
      <w:hyperlink r:id="rId3">
        <w:r>
          <w:rPr>
            <w:color w:val="0000FF"/>
            <w:u w:val="single" w:color="0000FF"/>
          </w:rPr>
          <w:t>to</w:t>
        </w:r>
      </w:hyperlink>
      <w:hyperlink r:id="rId4">
        <w:r>
          <w:rPr>
            <w:color w:val="0000FF"/>
            <w:u w:val="single" w:color="0000FF"/>
          </w:rPr>
          <w:t>-</w:t>
        </w:r>
      </w:hyperlink>
      <w:hyperlink r:id="rId5">
        <w:r>
          <w:rPr>
            <w:color w:val="0000FF"/>
            <w:u w:val="single" w:color="0000FF"/>
          </w:rPr>
          <w:t>use</w:t>
        </w:r>
      </w:hyperlink>
      <w:hyperlink r:id="rId6">
        <w:r>
          <w:rPr>
            <w:color w:val="0000FF"/>
            <w:u w:val="single" w:color="0000FF"/>
          </w:rPr>
          <w:t>-</w:t>
        </w:r>
      </w:hyperlink>
      <w:hyperlink r:id="rId7">
        <w:r>
          <w:rPr>
            <w:color w:val="0000FF"/>
            <w:u w:val="single" w:color="0000FF"/>
          </w:rPr>
          <w:t>fetal</w:t>
        </w:r>
      </w:hyperlink>
      <w:hyperlink r:id="rId8">
        <w:r>
          <w:rPr>
            <w:color w:val="0000FF"/>
            <w:u w:val="single" w:color="0000FF"/>
          </w:rPr>
          <w:t>-</w:t>
        </w:r>
      </w:hyperlink>
      <w:hyperlink r:id="rId9">
        <w:r>
          <w:rPr>
            <w:color w:val="0000FF"/>
            <w:u w:val="single" w:color="0000FF"/>
          </w:rPr>
          <w:t>fibronectin</w:t>
        </w:r>
      </w:hyperlink>
      <w:hyperlink r:id="rId10">
        <w:r>
          <w:t xml:space="preserve"> </w:t>
        </w:r>
      </w:hyperlink>
      <w:r>
        <w:t xml:space="preserve"> </w:t>
      </w:r>
    </w:p>
  </w:footnote>
  <w:footnote w:id="3">
    <w:p w:rsidR="005C1FD6" w:rsidRDefault="00335452">
      <w:pPr>
        <w:pStyle w:val="footnotedescription"/>
        <w:spacing w:line="265" w:lineRule="auto"/>
        <w:ind w:right="19"/>
      </w:pPr>
      <w:r>
        <w:rPr>
          <w:rStyle w:val="footnotemark"/>
        </w:rPr>
        <w:footnoteRef/>
      </w:r>
      <w:r>
        <w:t xml:space="preserve"> </w:t>
      </w:r>
      <w:proofErr w:type="spellStart"/>
      <w:r>
        <w:t>Berghella</w:t>
      </w:r>
      <w:proofErr w:type="spellEnd"/>
      <w:r>
        <w:t xml:space="preserve"> V, </w:t>
      </w:r>
      <w:proofErr w:type="spellStart"/>
      <w:r>
        <w:t>Saccone</w:t>
      </w:r>
      <w:proofErr w:type="spellEnd"/>
      <w:r>
        <w:t xml:space="preserve"> G. Fetal fibronectin testing for prevention of preterm birth in singleton pregnancies with threatened preterm labor: a systematic review and </w:t>
      </w:r>
      <w:proofErr w:type="spellStart"/>
      <w:r>
        <w:t>metaanalysis</w:t>
      </w:r>
      <w:proofErr w:type="spellEnd"/>
      <w:r>
        <w:t xml:space="preserve"> of randomized controlled trials. Am J </w:t>
      </w:r>
      <w:proofErr w:type="spellStart"/>
      <w:r>
        <w:t>Obstet</w:t>
      </w:r>
      <w:proofErr w:type="spellEnd"/>
      <w:r>
        <w:t xml:space="preserve"> </w:t>
      </w:r>
      <w:proofErr w:type="spellStart"/>
      <w:r>
        <w:t>Gynecol</w:t>
      </w:r>
      <w:proofErr w:type="spellEnd"/>
      <w:r>
        <w:t xml:space="preserve"> </w:t>
      </w:r>
    </w:p>
  </w:footnote>
  <w:footnote w:id="4">
    <w:p w:rsidR="005C1FD6" w:rsidRDefault="00335452">
      <w:pPr>
        <w:pStyle w:val="footnotedescription"/>
        <w:ind w:firstLine="0"/>
      </w:pPr>
      <w:r>
        <w:rPr>
          <w:rStyle w:val="footnotemark"/>
        </w:rPr>
        <w:footnoteRef/>
      </w:r>
      <w:r>
        <w:t xml:space="preserve"> Oct</w:t>
      </w:r>
      <w:proofErr w:type="gramStart"/>
      <w:r>
        <w:t>;215</w:t>
      </w:r>
      <w:proofErr w:type="gramEnd"/>
      <w:r>
        <w:t xml:space="preserve">(4):431-8. </w:t>
      </w:r>
    </w:p>
    <w:p w:rsidR="005C1FD6" w:rsidRDefault="00335452">
      <w:pPr>
        <w:pStyle w:val="footnotedescription"/>
        <w:spacing w:after="620"/>
        <w:ind w:left="0" w:firstLine="0"/>
      </w:pPr>
      <w:r>
        <w:rPr>
          <w:rFonts w:ascii="Times New Roman" w:eastAsia="Times New Roman" w:hAnsi="Times New Roman" w:cs="Times New Roman"/>
        </w:rPr>
        <w:t xml:space="preserve"> </w:t>
      </w:r>
    </w:p>
    <w:p w:rsidR="005C1FD6" w:rsidRDefault="00335452">
      <w:pPr>
        <w:pStyle w:val="footnotedescription"/>
        <w:ind w:left="180" w:firstLine="0"/>
      </w:pPr>
      <w:r>
        <w:rPr>
          <w:rFonts w:ascii="Times New Roman" w:eastAsia="Times New Roman" w:hAnsi="Times New Roman" w:cs="Times New Roman"/>
          <w:sz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5D5F"/>
    <w:multiLevelType w:val="hybridMultilevel"/>
    <w:tmpl w:val="A3AC9E44"/>
    <w:lvl w:ilvl="0" w:tplc="36E8D2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459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3C67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AB6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2B2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280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7E0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B8A3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6076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D6"/>
    <w:rsid w:val="00335452"/>
    <w:rsid w:val="005C1FD6"/>
    <w:rsid w:val="006D4E98"/>
    <w:rsid w:val="009702C2"/>
    <w:rsid w:val="00C53CCB"/>
    <w:rsid w:val="00E162FC"/>
    <w:rsid w:val="00FC2825"/>
    <w:rsid w:val="00FE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1F846-5FED-4F6E-9103-B59332E5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91" w:hanging="9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mfm.org/publications/117-when-to-use-fetal-fibronectin" TargetMode="External"/><Relationship Id="rId3" Type="http://schemas.openxmlformats.org/officeDocument/2006/relationships/hyperlink" Target="https://www.smfm.org/publications/117-when-to-use-fetal-fibronectin" TargetMode="External"/><Relationship Id="rId7" Type="http://schemas.openxmlformats.org/officeDocument/2006/relationships/hyperlink" Target="https://www.smfm.org/publications/117-when-to-use-fetal-fibronectin" TargetMode="External"/><Relationship Id="rId2" Type="http://schemas.openxmlformats.org/officeDocument/2006/relationships/hyperlink" Target="https://www.smfm.org/publications/117-when-to-use-fetal-fibronectin" TargetMode="External"/><Relationship Id="rId1" Type="http://schemas.openxmlformats.org/officeDocument/2006/relationships/hyperlink" Target="https://www.smfm.org/publications/117-when-to-use-fetal-fibronectin" TargetMode="External"/><Relationship Id="rId6" Type="http://schemas.openxmlformats.org/officeDocument/2006/relationships/hyperlink" Target="https://www.smfm.org/publications/117-when-to-use-fetal-fibronectin" TargetMode="External"/><Relationship Id="rId5" Type="http://schemas.openxmlformats.org/officeDocument/2006/relationships/hyperlink" Target="https://www.smfm.org/publications/117-when-to-use-fetal-fibronectin" TargetMode="External"/><Relationship Id="rId10" Type="http://schemas.openxmlformats.org/officeDocument/2006/relationships/hyperlink" Target="https://www.smfm.org/publications/117-when-to-use-fetal-fibronectin" TargetMode="External"/><Relationship Id="rId4" Type="http://schemas.openxmlformats.org/officeDocument/2006/relationships/hyperlink" Target="https://www.smfm.org/publications/117-when-to-use-fetal-fibronectin" TargetMode="External"/><Relationship Id="rId9" Type="http://schemas.openxmlformats.org/officeDocument/2006/relationships/hyperlink" Target="https://www.smfm.org/publications/117-when-to-use-fetal-fibronec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¬March of Dimes Foundation</vt:lpstr>
    </vt:vector>
  </TitlesOfParts>
  <Company>March of Dimes</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of Dimes Foundation</dc:title>
  <dc:subject/>
  <dc:creator>MOD Employee</dc:creator>
  <cp:keywords/>
  <cp:lastModifiedBy>Koop, Barbara A.  (HSC)</cp:lastModifiedBy>
  <cp:revision>4</cp:revision>
  <dcterms:created xsi:type="dcterms:W3CDTF">2017-07-19T20:29:00Z</dcterms:created>
  <dcterms:modified xsi:type="dcterms:W3CDTF">2017-09-15T21:19:00Z</dcterms:modified>
</cp:coreProperties>
</file>