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58D6" w:rsidRPr="00202BB8" w:rsidRDefault="004D58D6" w:rsidP="004D58D6">
      <w:pPr>
        <w:jc w:val="center"/>
        <w:rPr>
          <w:rFonts w:ascii="Century Gothic" w:hAnsi="Century Gothic"/>
          <w:b/>
          <w:color w:val="298792"/>
          <w:sz w:val="44"/>
          <w:szCs w:val="44"/>
        </w:rPr>
      </w:pPr>
      <w:r w:rsidRPr="00202BB8">
        <w:rPr>
          <w:rFonts w:ascii="Century Gothic" w:hAnsi="Century Gothic"/>
          <w:b/>
          <w:color w:val="298792"/>
          <w:sz w:val="44"/>
          <w:szCs w:val="44"/>
        </w:rPr>
        <w:t>Hypertension</w:t>
      </w:r>
      <w:r w:rsidR="00BD0100">
        <w:rPr>
          <w:rFonts w:ascii="Century Gothic" w:hAnsi="Century Gothic"/>
          <w:b/>
          <w:color w:val="298792"/>
          <w:sz w:val="44"/>
          <w:szCs w:val="44"/>
        </w:rPr>
        <w:t xml:space="preserve"> in Pregnancy</w:t>
      </w:r>
      <w:r w:rsidRPr="00202BB8">
        <w:rPr>
          <w:rFonts w:ascii="Century Gothic" w:hAnsi="Century Gothic"/>
          <w:b/>
          <w:color w:val="298792"/>
          <w:sz w:val="44"/>
          <w:szCs w:val="44"/>
        </w:rPr>
        <w:t>-Respon</w:t>
      </w:r>
      <w:bookmarkStart w:id="0" w:name="_GoBack"/>
      <w:bookmarkEnd w:id="0"/>
      <w:r w:rsidRPr="00202BB8">
        <w:rPr>
          <w:rFonts w:ascii="Century Gothic" w:hAnsi="Century Gothic"/>
          <w:b/>
          <w:color w:val="298792"/>
          <w:sz w:val="44"/>
          <w:szCs w:val="44"/>
        </w:rPr>
        <w:t>se Assessment</w:t>
      </w:r>
    </w:p>
    <w:p w:rsidR="004D58D6" w:rsidRPr="009A689E" w:rsidRDefault="004D58D6" w:rsidP="004D58D6">
      <w:pPr>
        <w:jc w:val="center"/>
        <w:rPr>
          <w:rFonts w:ascii="Century Gothic" w:hAnsi="Century Gothic"/>
          <w:b/>
          <w:sz w:val="16"/>
          <w:szCs w:val="16"/>
        </w:rPr>
      </w:pPr>
    </w:p>
    <w:tbl>
      <w:tblPr>
        <w:tblStyle w:val="TableGrid"/>
        <w:tblW w:w="0" w:type="auto"/>
        <w:tblLook w:val="04A0" w:firstRow="1" w:lastRow="0" w:firstColumn="1" w:lastColumn="0" w:noHBand="0" w:noVBand="1"/>
      </w:tblPr>
      <w:tblGrid>
        <w:gridCol w:w="5198"/>
        <w:gridCol w:w="1840"/>
        <w:gridCol w:w="1530"/>
        <w:gridCol w:w="1350"/>
        <w:gridCol w:w="3258"/>
      </w:tblGrid>
      <w:tr w:rsidR="004D58D6" w:rsidTr="00202BB8">
        <w:tc>
          <w:tcPr>
            <w:tcW w:w="5198" w:type="dxa"/>
            <w:shd w:val="clear" w:color="auto" w:fill="DB969A"/>
            <w:vAlign w:val="bottom"/>
          </w:tcPr>
          <w:p w:rsidR="004D58D6" w:rsidRPr="00D0777C" w:rsidRDefault="004D58D6" w:rsidP="00F938A0">
            <w:pPr>
              <w:jc w:val="center"/>
              <w:rPr>
                <w:rFonts w:ascii="Century Gothic" w:hAnsi="Century Gothic"/>
                <w:b/>
                <w:sz w:val="28"/>
                <w:szCs w:val="28"/>
              </w:rPr>
            </w:pPr>
            <w:r>
              <w:rPr>
                <w:rFonts w:ascii="Century Gothic" w:hAnsi="Century Gothic"/>
                <w:b/>
                <w:sz w:val="28"/>
                <w:szCs w:val="28"/>
              </w:rPr>
              <w:t>Requirements-Every Instance of Severe Hypertension/ Preeclampsia</w:t>
            </w:r>
          </w:p>
        </w:tc>
        <w:tc>
          <w:tcPr>
            <w:tcW w:w="1840" w:type="dxa"/>
            <w:shd w:val="clear" w:color="auto" w:fill="DB969A"/>
            <w:vAlign w:val="bottom"/>
          </w:tcPr>
          <w:p w:rsidR="004D58D6" w:rsidRPr="00D0777C" w:rsidRDefault="004D58D6" w:rsidP="00F938A0">
            <w:pPr>
              <w:jc w:val="center"/>
              <w:rPr>
                <w:rFonts w:ascii="Century Gothic" w:hAnsi="Century Gothic"/>
                <w:b/>
                <w:sz w:val="28"/>
                <w:szCs w:val="28"/>
              </w:rPr>
            </w:pPr>
            <w:r w:rsidRPr="00D0777C">
              <w:rPr>
                <w:rFonts w:ascii="Century Gothic" w:hAnsi="Century Gothic"/>
                <w:b/>
                <w:sz w:val="28"/>
                <w:szCs w:val="28"/>
              </w:rPr>
              <w:t>In Place- Consistently Executed</w:t>
            </w:r>
          </w:p>
        </w:tc>
        <w:tc>
          <w:tcPr>
            <w:tcW w:w="1530" w:type="dxa"/>
            <w:shd w:val="clear" w:color="auto" w:fill="DB969A"/>
            <w:vAlign w:val="bottom"/>
          </w:tcPr>
          <w:p w:rsidR="004D58D6" w:rsidRPr="00D0777C" w:rsidRDefault="004D58D6" w:rsidP="00F938A0">
            <w:pPr>
              <w:jc w:val="center"/>
              <w:rPr>
                <w:rFonts w:ascii="Century Gothic" w:hAnsi="Century Gothic"/>
                <w:b/>
                <w:sz w:val="28"/>
                <w:szCs w:val="28"/>
              </w:rPr>
            </w:pPr>
            <w:r w:rsidRPr="00D0777C">
              <w:rPr>
                <w:rFonts w:ascii="Century Gothic" w:hAnsi="Century Gothic"/>
                <w:b/>
                <w:sz w:val="28"/>
                <w:szCs w:val="28"/>
              </w:rPr>
              <w:t>In Place- Not Working</w:t>
            </w:r>
          </w:p>
        </w:tc>
        <w:tc>
          <w:tcPr>
            <w:tcW w:w="1350" w:type="dxa"/>
            <w:shd w:val="clear" w:color="auto" w:fill="DB969A"/>
            <w:vAlign w:val="bottom"/>
          </w:tcPr>
          <w:p w:rsidR="004D58D6" w:rsidRPr="00D0777C" w:rsidRDefault="004D58D6" w:rsidP="00F938A0">
            <w:pPr>
              <w:jc w:val="center"/>
              <w:rPr>
                <w:rFonts w:ascii="Century Gothic" w:hAnsi="Century Gothic"/>
                <w:b/>
                <w:sz w:val="28"/>
                <w:szCs w:val="28"/>
              </w:rPr>
            </w:pPr>
            <w:r w:rsidRPr="00D0777C">
              <w:rPr>
                <w:rFonts w:ascii="Century Gothic" w:hAnsi="Century Gothic"/>
                <w:b/>
                <w:sz w:val="28"/>
                <w:szCs w:val="28"/>
              </w:rPr>
              <w:t>Not In Place</w:t>
            </w:r>
          </w:p>
        </w:tc>
        <w:tc>
          <w:tcPr>
            <w:tcW w:w="3258" w:type="dxa"/>
            <w:shd w:val="clear" w:color="auto" w:fill="DB969A"/>
            <w:vAlign w:val="bottom"/>
          </w:tcPr>
          <w:p w:rsidR="004D58D6" w:rsidRPr="00D0777C" w:rsidRDefault="004D58D6" w:rsidP="00F938A0">
            <w:pPr>
              <w:jc w:val="center"/>
              <w:rPr>
                <w:rFonts w:ascii="Century Gothic" w:hAnsi="Century Gothic"/>
                <w:b/>
                <w:sz w:val="28"/>
                <w:szCs w:val="28"/>
              </w:rPr>
            </w:pPr>
            <w:r w:rsidRPr="00D0777C">
              <w:rPr>
                <w:rFonts w:ascii="Century Gothic" w:hAnsi="Century Gothic"/>
                <w:b/>
                <w:sz w:val="28"/>
                <w:szCs w:val="28"/>
              </w:rPr>
              <w:t>Comments</w:t>
            </w:r>
          </w:p>
        </w:tc>
      </w:tr>
      <w:tr w:rsidR="004D58D6" w:rsidTr="00525EAF">
        <w:tc>
          <w:tcPr>
            <w:tcW w:w="5198" w:type="dxa"/>
            <w:shd w:val="clear" w:color="auto" w:fill="D7E8F9"/>
          </w:tcPr>
          <w:p w:rsidR="004D58D6" w:rsidRPr="00CB580F" w:rsidRDefault="004D58D6" w:rsidP="00F938A0">
            <w:pPr>
              <w:jc w:val="center"/>
              <w:rPr>
                <w:rFonts w:ascii="Century Gothic" w:hAnsi="Century Gothic"/>
                <w:sz w:val="24"/>
                <w:szCs w:val="24"/>
              </w:rPr>
            </w:pPr>
            <w:r w:rsidRPr="00CB580F">
              <w:rPr>
                <w:rFonts w:ascii="Century Gothic" w:hAnsi="Century Gothic"/>
                <w:sz w:val="24"/>
                <w:szCs w:val="24"/>
              </w:rPr>
              <w:t xml:space="preserve">Facility-wide standard protocols with checklists and escalation policies for management and treatment of:  1)severe hypertension, 2)eclampsia, seizure prophylaxis and magnesium over-dosage,   </w:t>
            </w:r>
          </w:p>
          <w:p w:rsidR="004D58D6" w:rsidRPr="00CB580F" w:rsidRDefault="004D58D6" w:rsidP="00F938A0">
            <w:pPr>
              <w:jc w:val="center"/>
              <w:rPr>
                <w:rFonts w:ascii="Century Gothic" w:hAnsi="Century Gothic"/>
                <w:sz w:val="24"/>
                <w:szCs w:val="24"/>
              </w:rPr>
            </w:pPr>
            <w:proofErr w:type="gramStart"/>
            <w:r w:rsidRPr="00CB580F">
              <w:rPr>
                <w:rFonts w:ascii="Century Gothic" w:hAnsi="Century Gothic"/>
                <w:sz w:val="24"/>
                <w:szCs w:val="24"/>
              </w:rPr>
              <w:t>3)postpartum</w:t>
            </w:r>
            <w:proofErr w:type="gramEnd"/>
            <w:r w:rsidRPr="00CB580F">
              <w:rPr>
                <w:rFonts w:ascii="Century Gothic" w:hAnsi="Century Gothic"/>
                <w:sz w:val="24"/>
                <w:szCs w:val="24"/>
              </w:rPr>
              <w:t xml:space="preserve"> presentation of severe hypertension/ preeclampsia.</w:t>
            </w:r>
          </w:p>
        </w:tc>
        <w:tc>
          <w:tcPr>
            <w:tcW w:w="1840" w:type="dxa"/>
          </w:tcPr>
          <w:p w:rsidR="004D58D6" w:rsidRDefault="004D58D6" w:rsidP="00F938A0">
            <w:pPr>
              <w:jc w:val="center"/>
              <w:rPr>
                <w:rFonts w:ascii="Century Gothic" w:hAnsi="Century Gothic"/>
                <w:b/>
                <w:sz w:val="32"/>
                <w:szCs w:val="32"/>
              </w:rPr>
            </w:pPr>
          </w:p>
        </w:tc>
        <w:tc>
          <w:tcPr>
            <w:tcW w:w="1530" w:type="dxa"/>
          </w:tcPr>
          <w:p w:rsidR="004D58D6" w:rsidRDefault="004D58D6" w:rsidP="00F938A0">
            <w:pPr>
              <w:jc w:val="center"/>
              <w:rPr>
                <w:rFonts w:ascii="Century Gothic" w:hAnsi="Century Gothic"/>
                <w:b/>
                <w:sz w:val="32"/>
                <w:szCs w:val="32"/>
              </w:rPr>
            </w:pPr>
          </w:p>
        </w:tc>
        <w:tc>
          <w:tcPr>
            <w:tcW w:w="1350" w:type="dxa"/>
          </w:tcPr>
          <w:p w:rsidR="004D58D6" w:rsidRDefault="004D58D6" w:rsidP="00F938A0">
            <w:pPr>
              <w:jc w:val="center"/>
              <w:rPr>
                <w:rFonts w:ascii="Century Gothic" w:hAnsi="Century Gothic"/>
                <w:b/>
                <w:sz w:val="32"/>
                <w:szCs w:val="32"/>
              </w:rPr>
            </w:pPr>
          </w:p>
        </w:tc>
        <w:tc>
          <w:tcPr>
            <w:tcW w:w="3258" w:type="dxa"/>
          </w:tcPr>
          <w:p w:rsidR="004D58D6" w:rsidRDefault="004D58D6" w:rsidP="00F938A0">
            <w:pPr>
              <w:jc w:val="center"/>
              <w:rPr>
                <w:rFonts w:ascii="Century Gothic" w:hAnsi="Century Gothic"/>
                <w:b/>
                <w:sz w:val="32"/>
                <w:szCs w:val="32"/>
              </w:rPr>
            </w:pPr>
          </w:p>
        </w:tc>
      </w:tr>
      <w:tr w:rsidR="004D58D6" w:rsidTr="00525EAF">
        <w:tc>
          <w:tcPr>
            <w:tcW w:w="5198" w:type="dxa"/>
            <w:shd w:val="clear" w:color="auto" w:fill="D7E8F9"/>
          </w:tcPr>
          <w:p w:rsidR="004D58D6" w:rsidRPr="00CB580F" w:rsidRDefault="004D58D6" w:rsidP="00F938A0">
            <w:pPr>
              <w:jc w:val="center"/>
              <w:rPr>
                <w:rFonts w:ascii="Century Gothic" w:hAnsi="Century Gothic"/>
                <w:sz w:val="24"/>
                <w:szCs w:val="24"/>
              </w:rPr>
            </w:pPr>
            <w:r w:rsidRPr="00CB580F">
              <w:rPr>
                <w:rFonts w:ascii="Century Gothic" w:hAnsi="Century Gothic"/>
                <w:sz w:val="24"/>
                <w:szCs w:val="24"/>
              </w:rPr>
              <w:t xml:space="preserve">Minimum requirements for protocol:  1)notification of physician or primary care provider if systolic BP =/&gt; 160 or diastolic BP =/&gt; 110 for two measurements within 15 minutes,  2)after the second elevated reading, treatment should be initiated ASAP (preferably within 60 minutes of verification), 3)includes onset and duration of magnesium sulfate therapy, 4)includes escalation measures for those unresponsive to standard treatment, 5)describes manner and verification of </w:t>
            </w:r>
            <w:proofErr w:type="spellStart"/>
            <w:r w:rsidRPr="00CB580F">
              <w:rPr>
                <w:rFonts w:ascii="Century Gothic" w:hAnsi="Century Gothic"/>
                <w:sz w:val="24"/>
                <w:szCs w:val="24"/>
              </w:rPr>
              <w:t>followup</w:t>
            </w:r>
            <w:proofErr w:type="spellEnd"/>
            <w:r w:rsidRPr="00CB580F">
              <w:rPr>
                <w:rFonts w:ascii="Century Gothic" w:hAnsi="Century Gothic"/>
                <w:sz w:val="24"/>
                <w:szCs w:val="24"/>
              </w:rPr>
              <w:t xml:space="preserve"> within 7-14 days postpartum, 6)describe postpartum patient education for women with preeclampsia.</w:t>
            </w:r>
          </w:p>
        </w:tc>
        <w:tc>
          <w:tcPr>
            <w:tcW w:w="1840" w:type="dxa"/>
          </w:tcPr>
          <w:p w:rsidR="004D58D6" w:rsidRDefault="004D58D6" w:rsidP="00F938A0">
            <w:pPr>
              <w:jc w:val="center"/>
              <w:rPr>
                <w:rFonts w:ascii="Century Gothic" w:hAnsi="Century Gothic"/>
                <w:b/>
                <w:sz w:val="32"/>
                <w:szCs w:val="32"/>
              </w:rPr>
            </w:pPr>
          </w:p>
        </w:tc>
        <w:tc>
          <w:tcPr>
            <w:tcW w:w="1530" w:type="dxa"/>
          </w:tcPr>
          <w:p w:rsidR="004D58D6" w:rsidRDefault="004D58D6" w:rsidP="00F938A0">
            <w:pPr>
              <w:jc w:val="center"/>
              <w:rPr>
                <w:rFonts w:ascii="Century Gothic" w:hAnsi="Century Gothic"/>
                <w:b/>
                <w:sz w:val="32"/>
                <w:szCs w:val="32"/>
              </w:rPr>
            </w:pPr>
          </w:p>
        </w:tc>
        <w:tc>
          <w:tcPr>
            <w:tcW w:w="1350" w:type="dxa"/>
          </w:tcPr>
          <w:p w:rsidR="004D58D6" w:rsidRDefault="004D58D6" w:rsidP="00F938A0">
            <w:pPr>
              <w:jc w:val="center"/>
              <w:rPr>
                <w:rFonts w:ascii="Century Gothic" w:hAnsi="Century Gothic"/>
                <w:b/>
                <w:sz w:val="32"/>
                <w:szCs w:val="32"/>
              </w:rPr>
            </w:pPr>
          </w:p>
        </w:tc>
        <w:tc>
          <w:tcPr>
            <w:tcW w:w="3258" w:type="dxa"/>
          </w:tcPr>
          <w:p w:rsidR="004D58D6" w:rsidRDefault="004D58D6" w:rsidP="00F938A0">
            <w:pPr>
              <w:jc w:val="center"/>
              <w:rPr>
                <w:rFonts w:ascii="Century Gothic" w:hAnsi="Century Gothic"/>
                <w:b/>
                <w:sz w:val="32"/>
                <w:szCs w:val="32"/>
              </w:rPr>
            </w:pPr>
          </w:p>
        </w:tc>
      </w:tr>
      <w:tr w:rsidR="004D58D6" w:rsidTr="00525EAF">
        <w:tc>
          <w:tcPr>
            <w:tcW w:w="5198" w:type="dxa"/>
            <w:shd w:val="clear" w:color="auto" w:fill="D7E8F9"/>
          </w:tcPr>
          <w:p w:rsidR="004D58D6" w:rsidRPr="00CB580F" w:rsidRDefault="004D58D6" w:rsidP="00F938A0">
            <w:pPr>
              <w:jc w:val="center"/>
              <w:rPr>
                <w:rFonts w:ascii="Century Gothic" w:hAnsi="Century Gothic"/>
                <w:sz w:val="24"/>
                <w:szCs w:val="24"/>
              </w:rPr>
            </w:pPr>
            <w:r w:rsidRPr="00CB580F">
              <w:rPr>
                <w:rFonts w:ascii="Century Gothic" w:hAnsi="Century Gothic"/>
                <w:sz w:val="24"/>
                <w:szCs w:val="24"/>
              </w:rPr>
              <w:t>Support plan for patients, families and staff for ICU admissions and serious complications of severe hypertension.</w:t>
            </w:r>
          </w:p>
        </w:tc>
        <w:tc>
          <w:tcPr>
            <w:tcW w:w="1840" w:type="dxa"/>
          </w:tcPr>
          <w:p w:rsidR="004D58D6" w:rsidRDefault="004D58D6" w:rsidP="00F938A0">
            <w:pPr>
              <w:jc w:val="center"/>
              <w:rPr>
                <w:rFonts w:ascii="Century Gothic" w:hAnsi="Century Gothic"/>
                <w:b/>
                <w:sz w:val="32"/>
                <w:szCs w:val="32"/>
              </w:rPr>
            </w:pPr>
          </w:p>
        </w:tc>
        <w:tc>
          <w:tcPr>
            <w:tcW w:w="1530" w:type="dxa"/>
          </w:tcPr>
          <w:p w:rsidR="004D58D6" w:rsidRDefault="004D58D6" w:rsidP="00F938A0">
            <w:pPr>
              <w:jc w:val="center"/>
              <w:rPr>
                <w:rFonts w:ascii="Century Gothic" w:hAnsi="Century Gothic"/>
                <w:b/>
                <w:sz w:val="32"/>
                <w:szCs w:val="32"/>
              </w:rPr>
            </w:pPr>
          </w:p>
        </w:tc>
        <w:tc>
          <w:tcPr>
            <w:tcW w:w="1350" w:type="dxa"/>
          </w:tcPr>
          <w:p w:rsidR="004D58D6" w:rsidRDefault="004D58D6" w:rsidP="00F938A0">
            <w:pPr>
              <w:jc w:val="center"/>
              <w:rPr>
                <w:rFonts w:ascii="Century Gothic" w:hAnsi="Century Gothic"/>
                <w:b/>
                <w:sz w:val="32"/>
                <w:szCs w:val="32"/>
              </w:rPr>
            </w:pPr>
          </w:p>
        </w:tc>
        <w:tc>
          <w:tcPr>
            <w:tcW w:w="3258" w:type="dxa"/>
          </w:tcPr>
          <w:p w:rsidR="004D58D6" w:rsidRDefault="004D58D6" w:rsidP="00F938A0">
            <w:pPr>
              <w:jc w:val="center"/>
              <w:rPr>
                <w:rFonts w:ascii="Century Gothic" w:hAnsi="Century Gothic"/>
                <w:b/>
                <w:sz w:val="32"/>
                <w:szCs w:val="32"/>
              </w:rPr>
            </w:pPr>
          </w:p>
        </w:tc>
      </w:tr>
    </w:tbl>
    <w:p w:rsidR="004D58D6" w:rsidRPr="00202BB8" w:rsidRDefault="004D58D6" w:rsidP="001C3600">
      <w:pPr>
        <w:jc w:val="center"/>
        <w:rPr>
          <w:rFonts w:ascii="Century Gothic" w:hAnsi="Century Gothic"/>
          <w:b/>
          <w:color w:val="298792"/>
          <w:sz w:val="32"/>
          <w:szCs w:val="32"/>
        </w:rPr>
      </w:pPr>
      <w:r w:rsidRPr="00202BB8">
        <w:rPr>
          <w:rFonts w:ascii="Century Gothic" w:hAnsi="Century Gothic"/>
          <w:b/>
          <w:color w:val="298792"/>
          <w:sz w:val="32"/>
          <w:szCs w:val="32"/>
        </w:rPr>
        <w:t>For each requirement that is not in place and consistently executed, complete an Action Plan</w:t>
      </w:r>
    </w:p>
    <w:p w:rsidR="00DC2C35" w:rsidRPr="00C4478A" w:rsidRDefault="00DC2C35" w:rsidP="004D58D6">
      <w:pPr>
        <w:rPr>
          <w:sz w:val="32"/>
          <w:szCs w:val="32"/>
        </w:rPr>
      </w:pPr>
    </w:p>
    <w:sectPr w:rsidR="00DC2C35" w:rsidRPr="00C4478A" w:rsidSect="001C3600">
      <w:headerReference w:type="even" r:id="rId6"/>
      <w:headerReference w:type="default" r:id="rId7"/>
      <w:headerReference w:type="first" r:id="rId8"/>
      <w:pgSz w:w="15840" w:h="12240" w:orient="landscape"/>
      <w:pgMar w:top="288" w:right="1008"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3D03" w:rsidRDefault="004F3D03" w:rsidP="004F3D03">
      <w:pPr>
        <w:spacing w:line="240" w:lineRule="auto"/>
      </w:pPr>
      <w:r>
        <w:separator/>
      </w:r>
    </w:p>
  </w:endnote>
  <w:endnote w:type="continuationSeparator" w:id="0">
    <w:p w:rsidR="004F3D03" w:rsidRDefault="004F3D03" w:rsidP="004F3D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3D03" w:rsidRDefault="004F3D03" w:rsidP="004F3D03">
      <w:pPr>
        <w:spacing w:line="240" w:lineRule="auto"/>
      </w:pPr>
      <w:r>
        <w:separator/>
      </w:r>
    </w:p>
  </w:footnote>
  <w:footnote w:type="continuationSeparator" w:id="0">
    <w:p w:rsidR="004F3D03" w:rsidRDefault="004F3D03" w:rsidP="004F3D0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3" w:rsidRDefault="00BD0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46638" o:spid="_x0000_s2057" type="#_x0000_t75" style="position:absolute;margin-left:0;margin-top:0;width:467.8pt;height:384.25pt;z-index:-251657216;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6CE" w:rsidRDefault="006D76CE">
    <w:pPr>
      <w:pStyle w:val="Header"/>
    </w:pPr>
  </w:p>
  <w:p w:rsidR="004F3D03" w:rsidRDefault="00BD0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46639" o:spid="_x0000_s2058" type="#_x0000_t75" style="position:absolute;margin-left:0;margin-top:0;width:467.8pt;height:384.25pt;z-index:-251656192;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3D03" w:rsidRDefault="00BD0100">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2646637" o:spid="_x0000_s2056" type="#_x0000_t75" style="position:absolute;margin-left:0;margin-top:0;width:467.8pt;height:384.25pt;z-index:-251658240;mso-position-horizontal:center;mso-position-horizontal-relative:margin;mso-position-vertical:center;mso-position-vertical-relative:margin" o:allowincell="f">
          <v:imagedata r:id="rId1" o:title="OPQIC Logo - Stacked Black on Whit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9"/>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3D03"/>
    <w:rsid w:val="001C3600"/>
    <w:rsid w:val="001D5844"/>
    <w:rsid w:val="00202BB8"/>
    <w:rsid w:val="00452F16"/>
    <w:rsid w:val="004D58D6"/>
    <w:rsid w:val="004F3D03"/>
    <w:rsid w:val="00525EAF"/>
    <w:rsid w:val="006759C0"/>
    <w:rsid w:val="006D76CE"/>
    <w:rsid w:val="00BD0100"/>
    <w:rsid w:val="00C4478A"/>
    <w:rsid w:val="00DB1613"/>
    <w:rsid w:val="00DC2C35"/>
    <w:rsid w:val="00F330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9"/>
    <o:shapelayout v:ext="edit">
      <o:idmap v:ext="edit" data="1"/>
    </o:shapelayout>
  </w:shapeDefaults>
  <w:decimalSymbol w:val="."/>
  <w:listSeparator w:val=","/>
  <w15:docId w15:val="{06DCFFB1-7777-4750-A15A-D73DCCD10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58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3D03"/>
    <w:pPr>
      <w:tabs>
        <w:tab w:val="center" w:pos="4680"/>
        <w:tab w:val="right" w:pos="9360"/>
      </w:tabs>
      <w:spacing w:line="240" w:lineRule="auto"/>
    </w:pPr>
  </w:style>
  <w:style w:type="character" w:customStyle="1" w:styleId="HeaderChar">
    <w:name w:val="Header Char"/>
    <w:basedOn w:val="DefaultParagraphFont"/>
    <w:link w:val="Header"/>
    <w:uiPriority w:val="99"/>
    <w:rsid w:val="004F3D03"/>
  </w:style>
  <w:style w:type="paragraph" w:styleId="Footer">
    <w:name w:val="footer"/>
    <w:basedOn w:val="Normal"/>
    <w:link w:val="FooterChar"/>
    <w:uiPriority w:val="99"/>
    <w:unhideWhenUsed/>
    <w:rsid w:val="004F3D03"/>
    <w:pPr>
      <w:tabs>
        <w:tab w:val="center" w:pos="4680"/>
        <w:tab w:val="right" w:pos="9360"/>
      </w:tabs>
      <w:spacing w:line="240" w:lineRule="auto"/>
    </w:pPr>
  </w:style>
  <w:style w:type="character" w:customStyle="1" w:styleId="FooterChar">
    <w:name w:val="Footer Char"/>
    <w:basedOn w:val="DefaultParagraphFont"/>
    <w:link w:val="Footer"/>
    <w:uiPriority w:val="99"/>
    <w:rsid w:val="004F3D03"/>
  </w:style>
  <w:style w:type="paragraph" w:styleId="BalloonText">
    <w:name w:val="Balloon Text"/>
    <w:basedOn w:val="Normal"/>
    <w:link w:val="BalloonTextChar"/>
    <w:uiPriority w:val="99"/>
    <w:semiHidden/>
    <w:unhideWhenUsed/>
    <w:rsid w:val="004F3D0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3D03"/>
    <w:rPr>
      <w:rFonts w:ascii="Tahoma" w:hAnsi="Tahoma" w:cs="Tahoma"/>
      <w:sz w:val="16"/>
      <w:szCs w:val="16"/>
    </w:rPr>
  </w:style>
  <w:style w:type="table" w:styleId="TableGrid">
    <w:name w:val="Table Grid"/>
    <w:basedOn w:val="TableNormal"/>
    <w:uiPriority w:val="59"/>
    <w:rsid w:val="00F3304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1064</Characters>
  <Application>Microsoft Office Word</Application>
  <DocSecurity>0</DocSecurity>
  <Lines>8</Lines>
  <Paragraphs>2</Paragraphs>
  <ScaleCrop>false</ScaleCrop>
  <Company/>
  <LinksUpToDate>false</LinksUpToDate>
  <CharactersWithSpaces>1248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Grlicky, Jamie   (HSC)</cp:lastModifiedBy>
  <cp:revision>7</cp:revision>
  <dcterms:created xsi:type="dcterms:W3CDTF">2015-04-02T14:18:00Z</dcterms:created>
  <dcterms:modified xsi:type="dcterms:W3CDTF">2015-12-01T19:06:00Z</dcterms:modified>
</cp:coreProperties>
</file>