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44"/>
          <w:szCs w:val="44"/>
        </w:rPr>
      </w:pPr>
      <w:r w:rsidRPr="00381297">
        <w:rPr>
          <w:rFonts w:ascii="Century Gothic" w:eastAsia="Calibri" w:hAnsi="Century Gothic" w:cs="Times New Roman"/>
          <w:b/>
          <w:color w:val="298792"/>
          <w:sz w:val="44"/>
          <w:szCs w:val="44"/>
        </w:rPr>
        <w:t>Obstetric Hemorrhage-Readiness Assessment</w:t>
      </w: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1973"/>
        <w:gridCol w:w="1947"/>
        <w:gridCol w:w="1759"/>
        <w:gridCol w:w="3180"/>
      </w:tblGrid>
      <w:tr w:rsidR="00381297" w:rsidRPr="00381297" w:rsidTr="00BE4203">
        <w:tc>
          <w:tcPr>
            <w:tcW w:w="4158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Requirements-Every Unit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80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Comments</w:t>
            </w: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Hemorrhage cart with supplies, checklist and instruction cards for intrauterine balloons and compressions stitches.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Immediate access to hemorrhage medications (kit or equivalent).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Establish a response team-who to call when help is needed (blood bank, advanced gynecologic surgery, other support and tertiary services).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Establish massive and emergency release transfusion protocols (type O negative /</w:t>
            </w:r>
            <w:proofErr w:type="spellStart"/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uncrossmatched</w:t>
            </w:r>
            <w:proofErr w:type="spellEnd"/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).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Unit education on protocols, unit-based drills (with post-drill debriefs).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</w:tbl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32"/>
          <w:szCs w:val="32"/>
        </w:rPr>
      </w:pPr>
      <w:r w:rsidRPr="00381297">
        <w:rPr>
          <w:rFonts w:ascii="Century Gothic" w:eastAsia="Calibri" w:hAnsi="Century Gothic" w:cs="Times New Roman"/>
          <w:b/>
          <w:color w:val="298792"/>
          <w:sz w:val="32"/>
          <w:szCs w:val="32"/>
        </w:rPr>
        <w:t>For each requirement that is not in place and consistently executed, complete an Action Plan</w:t>
      </w:r>
    </w:p>
    <w:p w:rsidR="00381297" w:rsidRPr="00381297" w:rsidRDefault="00381297" w:rsidP="00381297">
      <w:pPr>
        <w:spacing w:after="0" w:line="276" w:lineRule="auto"/>
        <w:rPr>
          <w:rFonts w:ascii="Calibri" w:eastAsia="Calibri" w:hAnsi="Calibri" w:cs="Times New Roman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44"/>
          <w:szCs w:val="44"/>
        </w:rPr>
      </w:pPr>
      <w:r w:rsidRPr="00381297">
        <w:rPr>
          <w:rFonts w:ascii="Century Gothic" w:eastAsia="Calibri" w:hAnsi="Century Gothic" w:cs="Times New Roman"/>
          <w:b/>
          <w:color w:val="298792"/>
          <w:sz w:val="44"/>
          <w:szCs w:val="44"/>
        </w:rPr>
        <w:lastRenderedPageBreak/>
        <w:t>Obstetric Hemorrhage-Recognition &amp; Prevention Assessment</w:t>
      </w: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2"/>
        <w:gridCol w:w="1974"/>
        <w:gridCol w:w="1951"/>
        <w:gridCol w:w="1764"/>
        <w:gridCol w:w="3189"/>
      </w:tblGrid>
      <w:tr w:rsidR="00381297" w:rsidRPr="00381297" w:rsidTr="00BE4203">
        <w:tc>
          <w:tcPr>
            <w:tcW w:w="4158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Requirements-Every Patient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80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Comments</w:t>
            </w: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Assessment of hemorrhage risk (prenatal, on admission and at other appropriate times).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Measurement of cumulative blood loss (formal, as quantitative as possible).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Active measurement of the 3</w:t>
            </w:r>
            <w:r w:rsidRPr="00381297">
              <w:rPr>
                <w:rFonts w:ascii="Century Gothic" w:eastAsia="Calibri" w:hAnsi="Century Gothic" w:cs="Times New Roman"/>
                <w:sz w:val="28"/>
                <w:szCs w:val="28"/>
                <w:vertAlign w:val="superscript"/>
              </w:rPr>
              <w:t>rd</w:t>
            </w: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stage of labor (department-wide protocol).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</w:tbl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32"/>
          <w:szCs w:val="32"/>
        </w:rPr>
      </w:pPr>
      <w:r w:rsidRPr="00381297">
        <w:rPr>
          <w:rFonts w:ascii="Century Gothic" w:eastAsia="Calibri" w:hAnsi="Century Gothic" w:cs="Times New Roman"/>
          <w:b/>
          <w:color w:val="298792"/>
          <w:sz w:val="32"/>
          <w:szCs w:val="32"/>
        </w:rPr>
        <w:t>For each requirement that is not in place and consistently executed, complete an Action Plan</w:t>
      </w: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:rsidR="00381297" w:rsidRPr="00381297" w:rsidRDefault="00381297" w:rsidP="00381297">
      <w:pPr>
        <w:spacing w:after="0" w:line="276" w:lineRule="auto"/>
        <w:rPr>
          <w:rFonts w:ascii="Calibri" w:eastAsia="Calibri" w:hAnsi="Calibri" w:cs="Times New Roman"/>
        </w:rPr>
      </w:pPr>
    </w:p>
    <w:p w:rsidR="001802E2" w:rsidRDefault="001802E2"/>
    <w:p w:rsidR="00381297" w:rsidRDefault="00381297"/>
    <w:p w:rsidR="00381297" w:rsidRDefault="00381297"/>
    <w:p w:rsidR="00381297" w:rsidRDefault="00381297"/>
    <w:p w:rsidR="00381297" w:rsidRDefault="00381297"/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44"/>
          <w:szCs w:val="44"/>
        </w:rPr>
      </w:pPr>
      <w:r w:rsidRPr="00381297">
        <w:rPr>
          <w:rFonts w:ascii="Century Gothic" w:eastAsia="Calibri" w:hAnsi="Century Gothic" w:cs="Times New Roman"/>
          <w:b/>
          <w:color w:val="298792"/>
          <w:sz w:val="44"/>
          <w:szCs w:val="44"/>
        </w:rPr>
        <w:lastRenderedPageBreak/>
        <w:t>Obstetric Hemorrhage-Response Assessment</w:t>
      </w: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2"/>
        <w:gridCol w:w="1974"/>
        <w:gridCol w:w="1951"/>
        <w:gridCol w:w="1764"/>
        <w:gridCol w:w="3189"/>
      </w:tblGrid>
      <w:tr w:rsidR="00381297" w:rsidRPr="00381297" w:rsidTr="00BE4203">
        <w:tc>
          <w:tcPr>
            <w:tcW w:w="4158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Requirements-Every Hemorrhage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800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Comments</w:t>
            </w: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Unit-standard, stage-based, obstetric hemorrhage emergency management plan with checklists.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381297" w:rsidRPr="00381297" w:rsidTr="00BE4203">
        <w:tc>
          <w:tcPr>
            <w:tcW w:w="4158" w:type="dxa"/>
            <w:shd w:val="clear" w:color="auto" w:fill="D7E8F9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sz w:val="28"/>
                <w:szCs w:val="28"/>
              </w:rPr>
              <w:t>Support program for patients, families and staff for all significant hemorrhages.</w:t>
            </w: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381297" w:rsidRPr="00381297" w:rsidRDefault="00381297" w:rsidP="00381297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</w:tbl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32"/>
          <w:szCs w:val="32"/>
        </w:rPr>
      </w:pPr>
      <w:r w:rsidRPr="00381297">
        <w:rPr>
          <w:rFonts w:ascii="Century Gothic" w:eastAsia="Calibri" w:hAnsi="Century Gothic" w:cs="Times New Roman"/>
          <w:b/>
          <w:color w:val="298792"/>
          <w:sz w:val="32"/>
          <w:szCs w:val="32"/>
        </w:rPr>
        <w:t>For each requirement that is not in place and consistently executed, complete an Action Plan</w:t>
      </w:r>
    </w:p>
    <w:p w:rsidR="00381297" w:rsidRPr="00381297" w:rsidRDefault="00381297" w:rsidP="00381297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32"/>
          <w:szCs w:val="32"/>
        </w:rPr>
      </w:pPr>
    </w:p>
    <w:p w:rsidR="00381297" w:rsidRPr="00381297" w:rsidRDefault="00381297" w:rsidP="00381297">
      <w:pPr>
        <w:spacing w:after="0" w:line="276" w:lineRule="auto"/>
        <w:rPr>
          <w:rFonts w:ascii="Calibri" w:eastAsia="Calibri" w:hAnsi="Calibri" w:cs="Times New Roman"/>
        </w:rPr>
      </w:pPr>
    </w:p>
    <w:p w:rsidR="00381297" w:rsidRDefault="00381297"/>
    <w:p w:rsidR="00887A1A" w:rsidRDefault="00887A1A"/>
    <w:p w:rsidR="00887A1A" w:rsidRDefault="00887A1A"/>
    <w:p w:rsidR="00887A1A" w:rsidRDefault="00887A1A"/>
    <w:p w:rsidR="00887A1A" w:rsidRDefault="00887A1A"/>
    <w:p w:rsidR="00887A1A" w:rsidRDefault="00887A1A"/>
    <w:p w:rsidR="00887A1A" w:rsidRDefault="00887A1A"/>
    <w:p w:rsidR="00887A1A" w:rsidRDefault="00887A1A"/>
    <w:p w:rsidR="00887A1A" w:rsidRPr="00381297" w:rsidRDefault="00887A1A" w:rsidP="00887A1A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44"/>
          <w:szCs w:val="44"/>
        </w:rPr>
      </w:pPr>
      <w:r w:rsidRPr="00381297">
        <w:rPr>
          <w:rFonts w:ascii="Century Gothic" w:eastAsia="Calibri" w:hAnsi="Century Gothic" w:cs="Times New Roman"/>
          <w:b/>
          <w:color w:val="298792"/>
          <w:sz w:val="44"/>
          <w:szCs w:val="44"/>
        </w:rPr>
        <w:lastRenderedPageBreak/>
        <w:t>Obstetric Hemorrhage-</w:t>
      </w:r>
      <w:r>
        <w:rPr>
          <w:rFonts w:ascii="Century Gothic" w:eastAsia="Calibri" w:hAnsi="Century Gothic" w:cs="Times New Roman"/>
          <w:b/>
          <w:color w:val="298792"/>
          <w:sz w:val="44"/>
          <w:szCs w:val="44"/>
        </w:rPr>
        <w:t>Reporting/Systems Learning</w:t>
      </w:r>
      <w:r w:rsidRPr="00381297">
        <w:rPr>
          <w:rFonts w:ascii="Century Gothic" w:eastAsia="Calibri" w:hAnsi="Century Gothic" w:cs="Times New Roman"/>
          <w:b/>
          <w:color w:val="298792"/>
          <w:sz w:val="44"/>
          <w:szCs w:val="44"/>
        </w:rPr>
        <w:t xml:space="preserve"> Assessment</w:t>
      </w:r>
    </w:p>
    <w:p w:rsidR="00887A1A" w:rsidRDefault="00887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1974"/>
        <w:gridCol w:w="1950"/>
        <w:gridCol w:w="1763"/>
        <w:gridCol w:w="3187"/>
      </w:tblGrid>
      <w:tr w:rsidR="00887A1A" w:rsidRPr="00381297" w:rsidTr="0041431F">
        <w:tc>
          <w:tcPr>
            <w:tcW w:w="4158" w:type="dxa"/>
            <w:shd w:val="clear" w:color="auto" w:fill="DB969A"/>
            <w:vAlign w:val="bottom"/>
          </w:tcPr>
          <w:p w:rsidR="00887A1A" w:rsidRPr="00381297" w:rsidRDefault="00887A1A" w:rsidP="00887A1A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Requirements-</w:t>
            </w:r>
            <w:r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Unit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In Place- Consistently Executed</w:t>
            </w:r>
          </w:p>
        </w:tc>
        <w:tc>
          <w:tcPr>
            <w:tcW w:w="1980" w:type="dxa"/>
            <w:shd w:val="clear" w:color="auto" w:fill="DB969A"/>
            <w:vAlign w:val="bottom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In Place- Not Working</w:t>
            </w:r>
          </w:p>
        </w:tc>
        <w:tc>
          <w:tcPr>
            <w:tcW w:w="1800" w:type="dxa"/>
            <w:shd w:val="clear" w:color="auto" w:fill="DB969A"/>
            <w:vAlign w:val="bottom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Not In Place</w:t>
            </w:r>
          </w:p>
        </w:tc>
        <w:tc>
          <w:tcPr>
            <w:tcW w:w="3258" w:type="dxa"/>
            <w:shd w:val="clear" w:color="auto" w:fill="DB969A"/>
            <w:vAlign w:val="bottom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381297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Comments</w:t>
            </w:r>
          </w:p>
        </w:tc>
      </w:tr>
      <w:tr w:rsidR="00887A1A" w:rsidRPr="00381297" w:rsidTr="0041431F">
        <w:tc>
          <w:tcPr>
            <w:tcW w:w="4158" w:type="dxa"/>
            <w:shd w:val="clear" w:color="auto" w:fill="D7E8F9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Establish a culture of huddles for high risk patients and post-event debriefs to identify successes and opportunities.</w:t>
            </w:r>
          </w:p>
        </w:tc>
        <w:tc>
          <w:tcPr>
            <w:tcW w:w="198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887A1A" w:rsidRPr="00381297" w:rsidTr="0041431F">
        <w:tc>
          <w:tcPr>
            <w:tcW w:w="4158" w:type="dxa"/>
            <w:shd w:val="clear" w:color="auto" w:fill="D7E8F9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Multidisciplinary review of serious hemorrhages for systems issues.</w:t>
            </w:r>
          </w:p>
        </w:tc>
        <w:tc>
          <w:tcPr>
            <w:tcW w:w="198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  <w:tr w:rsidR="00887A1A" w:rsidRPr="00381297" w:rsidTr="0041431F">
        <w:tc>
          <w:tcPr>
            <w:tcW w:w="4158" w:type="dxa"/>
            <w:shd w:val="clear" w:color="auto" w:fill="D7E8F9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Monitor outcomes and process metrics in perinatal quality improvement (QI) committee.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887A1A" w:rsidRPr="00381297" w:rsidRDefault="00887A1A" w:rsidP="0041431F">
            <w:pPr>
              <w:jc w:val="center"/>
              <w:rPr>
                <w:rFonts w:ascii="Century Gothic" w:eastAsia="Calibri" w:hAnsi="Century Gothic" w:cs="Times New Roman"/>
                <w:b/>
                <w:sz w:val="32"/>
                <w:szCs w:val="32"/>
              </w:rPr>
            </w:pPr>
          </w:p>
        </w:tc>
      </w:tr>
    </w:tbl>
    <w:p w:rsidR="00887A1A" w:rsidRPr="00381297" w:rsidRDefault="00887A1A" w:rsidP="00887A1A">
      <w:pPr>
        <w:spacing w:after="0" w:line="276" w:lineRule="auto"/>
        <w:jc w:val="center"/>
        <w:rPr>
          <w:rFonts w:ascii="Century Gothic" w:eastAsia="Calibri" w:hAnsi="Century Gothic" w:cs="Times New Roman"/>
          <w:b/>
          <w:color w:val="298792"/>
          <w:sz w:val="32"/>
          <w:szCs w:val="32"/>
        </w:rPr>
      </w:pPr>
      <w:r w:rsidRPr="00381297">
        <w:rPr>
          <w:rFonts w:ascii="Century Gothic" w:eastAsia="Calibri" w:hAnsi="Century Gothic" w:cs="Times New Roman"/>
          <w:b/>
          <w:color w:val="298792"/>
          <w:sz w:val="32"/>
          <w:szCs w:val="32"/>
        </w:rPr>
        <w:t>For each requirement that is not in place and consistently executed, complete an Action Plan</w:t>
      </w:r>
    </w:p>
    <w:p w:rsidR="00887A1A" w:rsidRDefault="00887A1A"/>
    <w:sectPr w:rsidR="00887A1A" w:rsidSect="00956026">
      <w:headerReference w:type="even" r:id="rId6"/>
      <w:headerReference w:type="default" r:id="rId7"/>
      <w:headerReference w:type="first" r:id="rId8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D2A">
      <w:pPr>
        <w:spacing w:after="0" w:line="240" w:lineRule="auto"/>
      </w:pPr>
      <w:r>
        <w:separator/>
      </w:r>
    </w:p>
  </w:endnote>
  <w:endnote w:type="continuationSeparator" w:id="0">
    <w:p w:rsidR="00000000" w:rsidRDefault="004E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D2A">
      <w:pPr>
        <w:spacing w:after="0" w:line="240" w:lineRule="auto"/>
      </w:pPr>
      <w:r>
        <w:separator/>
      </w:r>
    </w:p>
  </w:footnote>
  <w:footnote w:type="continuationSeparator" w:id="0">
    <w:p w:rsidR="00000000" w:rsidRDefault="004E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03" w:rsidRDefault="004E7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E" w:rsidRDefault="004E7D2A">
    <w:pPr>
      <w:pStyle w:val="Header"/>
    </w:pPr>
  </w:p>
  <w:p w:rsidR="004F3D03" w:rsidRDefault="004E7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03" w:rsidRDefault="004E7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7"/>
    <w:rsid w:val="001802E2"/>
    <w:rsid w:val="00381297"/>
    <w:rsid w:val="004E7D2A"/>
    <w:rsid w:val="00722327"/>
    <w:rsid w:val="00887A1A"/>
    <w:rsid w:val="00C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F9F86-ECA6-4531-90B1-9B02BECA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97"/>
  </w:style>
  <w:style w:type="table" w:styleId="TableGrid">
    <w:name w:val="Table Grid"/>
    <w:basedOn w:val="TableNormal"/>
    <w:uiPriority w:val="59"/>
    <w:rsid w:val="0038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Barbara T. (HSC)</dc:creator>
  <cp:keywords/>
  <dc:description/>
  <cp:lastModifiedBy>Grlicky, Jamie   (HSC)</cp:lastModifiedBy>
  <cp:revision>3</cp:revision>
  <dcterms:created xsi:type="dcterms:W3CDTF">2017-01-18T21:39:00Z</dcterms:created>
  <dcterms:modified xsi:type="dcterms:W3CDTF">2017-01-24T16:27:00Z</dcterms:modified>
</cp:coreProperties>
</file>